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2023/139 vom 17. April 2024</w:t>
      </w:r>
    </w:p>
    <w:p>
      <w:r>
        <w:t>Sg Versicherungsgericht, 2024-04-17, DE</w:t>
      </w:r>
    </w:p>
    <w:p>
      <w:r>
        <w:rPr>
          <w:b/>
        </w:rPr>
        <w:t xml:space="preserve">Quelle: </w:t>
      </w:r>
      <w:r>
        <w:t>https://mcp.opencaselaw.ch/entscheid/sg_publikationen_IV 2023_139</w:t>
      </w:r>
    </w:p>
    <w:p>
      <w:r>
        <w:t>FR: SG_VERSICHERUNGSGERICHT IV 2023/139 du 17 avril 2024</w:t>
      </w:r>
    </w:p>
    <w:p>
      <w:r>
        <w:t>IT: SG_VERSICHERUNGSGERICHT IV 2023/139 del 17 aprile 2024</w:t>
      </w:r>
    </w:p>
    <w:p>
      <w:pPr>
        <w:pStyle w:val="Heading2"/>
      </w:pPr>
      <w:r>
        <w:t>Regeste</w:t>
      </w:r>
    </w:p>
    <w:p>
      <w:r>
        <w:t>Art. 28 IVG. Art. 16 ATSG. Invalidenrente. Würdigung eines polydisziplinären Administrativgutachtens (Entscheid des Versicherungsgerichts des Kantons St. Gallen vom 17. April 2024, IV 2023/139). Bestätigt durch Urteil des Bundesgerichts 8C_318/2024.</w:t>
      </w:r>
    </w:p>
    <w:p>
      <w:pPr>
        <w:pStyle w:val="Heading2"/>
      </w:pPr>
      <w:r>
        <w:t>Erwägungen</w:t>
      </w:r>
    </w:p>
    <w:p>
      <w:r>
        <w:rPr>
          <w:b/>
        </w:rPr>
        <w:t>E. 37</w:t>
      </w:r>
    </w:p>
    <w:p>
      <w:r>
        <w:t>Prozent (= 100% – 90% × 70%). Damit erweist sich die Abweisung des Rentenbegehrens im Ergebnis als rechtmässig, denn ein Rentenanspruch besteht erst ab einem Invaliditätsgrad von mindestens 40 Prozent. Die Beschwerde ist abzuweisen. Die angesichts des durchschnittlichen Verfahrensaufwandes praxisgemäss auf 600 Franken festzusetzenden Gerichtskosten wären an sich dem unterliegenden Beschwerdeführer aufzuerlegen. Zufolge der Bewilligung der unentgeltlichen Prozessführung ist der Beschwerdeführer aber vorläufig von der Pflicht, die Gerichtskosten zu bezahlen, befreit. Da ihm auch die unentgeltliche Rechtsverbeiständung bewilligt worden ist, hat der Staat seinem Rechtsvertreter eine Entschädigung auszurichten, die 80 Prozent des erforderlichen Vertretungsaufwandes abdeckt (Art. 31 Abs. 3 AnwG). Der erforderliche Vertretungsaufwand ist als deutlich unterdurchschnittlich zu qualifizieren, da der Rechtsvertreter erst nach der Beschwerdeerhebung beigezogen worden und deshalb nur am zweiten Schriftenwechsel beteiligt gewesen ist. Die Entschädigung wird deshalb auf 80 Prozent von 3’000 Franken, also auf 2’400 Franken, festgesetzt.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Auf das Begehren um berufliche Massnahmen wird nicht eingetreten. Die Beschwerde wird abgewiesen. Der Beschwerdeführer ist vorläufig von der Pflicht, die Gerichtskosten von 600 Franken zu bezahlen, befreit. Der Rechtsvertreter des Beschwerdeführers wird vom Gericht mit 2’400 Franken (einschliesslich Barauslagen und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